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E50F2B" w:rsidTr="00927675">
        <w:trPr>
          <w:trHeight w:val="1008"/>
          <w:jc w:val="center"/>
        </w:trPr>
        <w:tc>
          <w:tcPr>
            <w:tcW w:w="2347" w:type="dxa"/>
            <w:gridSpan w:val="2"/>
            <w:vMerge w:val="restart"/>
            <w:tcBorders>
              <w:top w:val="single" w:sz="18" w:space="0" w:color="auto"/>
              <w:right w:val="nil"/>
            </w:tcBorders>
            <w:vAlign w:val="center"/>
          </w:tcPr>
          <w:p w:rsidR="00E50F2B" w:rsidRDefault="00E50F2B" w:rsidP="009E2B42">
            <w:pPr>
              <w:ind w:left="-115"/>
            </w:pPr>
            <w:r>
              <w:rPr>
                <w:rFonts w:cs="Times New Roman"/>
                <w:noProof/>
                <w:lang w:eastAsia="zh-CN"/>
              </w:rPr>
              <w:drawing>
                <wp:inline distT="0" distB="0" distL="0" distR="0" wp14:anchorId="2D779149" wp14:editId="5F0D5A6F">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E50F2B" w:rsidRPr="00263C6E" w:rsidRDefault="00E50F2B" w:rsidP="007A0492">
            <w:pPr>
              <w:spacing w:before="280"/>
              <w:jc w:val="center"/>
              <w:rPr>
                <w:rFonts w:ascii="Times New Roman" w:hAnsi="Times New Roman" w:cs="Times New Roman"/>
                <w:sz w:val="24"/>
                <w:lang w:val="en-GB"/>
              </w:rPr>
            </w:pPr>
            <w:r w:rsidRPr="00263C6E">
              <w:rPr>
                <w:rFonts w:ascii="Times New Roman" w:hAnsi="Times New Roman" w:cs="Times New Roman"/>
                <w:sz w:val="28"/>
                <w:szCs w:val="24"/>
                <w:lang w:val="en-GB"/>
              </w:rPr>
              <w:t>Journal of Advanced Research Design</w:t>
            </w:r>
          </w:p>
        </w:tc>
        <w:tc>
          <w:tcPr>
            <w:tcW w:w="2347" w:type="dxa"/>
            <w:gridSpan w:val="3"/>
            <w:vMerge w:val="restart"/>
            <w:tcBorders>
              <w:top w:val="single" w:sz="18" w:space="0" w:color="auto"/>
              <w:left w:val="nil"/>
            </w:tcBorders>
            <w:vAlign w:val="center"/>
          </w:tcPr>
          <w:p w:rsidR="00E50F2B" w:rsidRPr="006F672B" w:rsidRDefault="00E50F2B" w:rsidP="009E2B42">
            <w:pPr>
              <w:ind w:right="-115"/>
              <w:jc w:val="right"/>
            </w:pPr>
            <w:r w:rsidRPr="006F672B">
              <w:rPr>
                <w:noProof/>
                <w:lang w:eastAsia="zh-CN"/>
              </w:rPr>
              <w:drawing>
                <wp:inline distT="0" distB="0" distL="0" distR="0" wp14:anchorId="78840986" wp14:editId="7C6E4785">
                  <wp:extent cx="822959" cy="115943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E50F2B" w:rsidTr="00927675">
        <w:trPr>
          <w:trHeight w:val="20"/>
          <w:jc w:val="center"/>
        </w:trPr>
        <w:tc>
          <w:tcPr>
            <w:tcW w:w="2347" w:type="dxa"/>
            <w:gridSpan w:val="2"/>
            <w:vMerge/>
            <w:tcBorders>
              <w:bottom w:val="single" w:sz="18" w:space="0" w:color="auto"/>
              <w:right w:val="nil"/>
            </w:tcBorders>
          </w:tcPr>
          <w:p w:rsidR="00E50F2B" w:rsidRDefault="00E50F2B" w:rsidP="009E2B42"/>
        </w:tc>
        <w:tc>
          <w:tcPr>
            <w:tcW w:w="5040" w:type="dxa"/>
            <w:gridSpan w:val="2"/>
            <w:tcBorders>
              <w:top w:val="nil"/>
              <w:left w:val="nil"/>
              <w:bottom w:val="single" w:sz="18" w:space="0" w:color="auto"/>
              <w:right w:val="nil"/>
            </w:tcBorders>
            <w:vAlign w:val="center"/>
          </w:tcPr>
          <w:p w:rsidR="00E50F2B" w:rsidRPr="00263C6E" w:rsidRDefault="00E50F2B" w:rsidP="007A0492">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www.akademiabaru.com/ard.html</w:t>
            </w:r>
          </w:p>
          <w:p w:rsidR="00E50F2B" w:rsidRPr="00263C6E" w:rsidRDefault="00E50F2B" w:rsidP="007A0492">
            <w:pPr>
              <w:jc w:val="center"/>
              <w:rPr>
                <w:rFonts w:cs="Calibri"/>
                <w:sz w:val="24"/>
                <w:lang w:val="en-GB"/>
              </w:rPr>
            </w:pPr>
            <w:r w:rsidRPr="00263C6E">
              <w:rPr>
                <w:rFonts w:cs="Calibri"/>
                <w:sz w:val="16"/>
                <w:szCs w:val="14"/>
                <w:lang w:val="en-GB"/>
              </w:rPr>
              <w:t>ISSN: 2289-7984</w:t>
            </w:r>
          </w:p>
        </w:tc>
        <w:tc>
          <w:tcPr>
            <w:tcW w:w="2347" w:type="dxa"/>
            <w:gridSpan w:val="3"/>
            <w:vMerge/>
            <w:tcBorders>
              <w:left w:val="nil"/>
              <w:bottom w:val="single" w:sz="18" w:space="0" w:color="auto"/>
            </w:tcBorders>
          </w:tcPr>
          <w:p w:rsidR="00E50F2B" w:rsidRPr="006F672B" w:rsidRDefault="00E50F2B"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w:t>
      </w:r>
      <w:proofErr w:type="spellStart"/>
      <w:r w:rsidRPr="003D133A">
        <w:rPr>
          <w:rFonts w:cs="Times New Roman"/>
          <w:sz w:val="24"/>
          <w:szCs w:val="24"/>
          <w:lang w:val="en-US"/>
        </w:rPr>
        <w:t>nanofibers</w:t>
      </w:r>
      <w:proofErr w:type="spellEnd"/>
      <w:r w:rsidRPr="003D133A">
        <w:rPr>
          <w:rFonts w:cs="Times New Roman"/>
          <w:sz w:val="24"/>
          <w:szCs w:val="24"/>
          <w:lang w:val="en-US"/>
        </w:rPr>
        <w:t xml:space="preserve">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proofErr w:type="gramStart"/>
      <w:r w:rsidRPr="00DE1281">
        <w:rPr>
          <w:rFonts w:cs="Times New Roman"/>
          <w:b/>
          <w:lang w:val="en-US"/>
        </w:rPr>
        <w:t>Fig. 1.</w:t>
      </w:r>
      <w:proofErr w:type="gramEnd"/>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proofErr w:type="gramStart"/>
      <w:r w:rsidRPr="00DE1281">
        <w:rPr>
          <w:rFonts w:cs="Times New Roman"/>
          <w:b/>
          <w:lang w:val="en-US"/>
        </w:rPr>
        <w:t>Fig. 2.</w:t>
      </w:r>
      <w:proofErr w:type="gramEnd"/>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"The effect of edge profile on delta wing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"PSP and PIV investigations on the VFE-2 configuration in sub-and transonic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77" w:rsidRDefault="00CD7477" w:rsidP="00307DBE">
      <w:pPr>
        <w:spacing w:after="0" w:line="240" w:lineRule="auto"/>
      </w:pPr>
      <w:r>
        <w:separator/>
      </w:r>
    </w:p>
  </w:endnote>
  <w:endnote w:type="continuationSeparator" w:id="0">
    <w:p w:rsidR="00CD7477" w:rsidRDefault="00CD7477"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2B" w:rsidRDefault="00E5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E50F2B">
          <w:rPr>
            <w:noProof/>
          </w:rPr>
          <w:t>18</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E50F2B">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77" w:rsidRDefault="00CD7477" w:rsidP="00307DBE">
      <w:pPr>
        <w:spacing w:after="0" w:line="240" w:lineRule="auto"/>
      </w:pPr>
      <w:r>
        <w:separator/>
      </w:r>
    </w:p>
  </w:footnote>
  <w:footnote w:type="continuationSeparator" w:id="0">
    <w:p w:rsidR="00CD7477" w:rsidRDefault="00CD7477"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proofErr w:type="gramStart"/>
      <w:r>
        <w:rPr>
          <w:rFonts w:asciiTheme="minorHAnsi" w:hAnsiTheme="minorHAnsi"/>
          <w:i/>
          <w:iCs/>
        </w:rPr>
        <w:t>Corresponding author.</w:t>
      </w:r>
      <w:proofErr w:type="gramEnd"/>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2B" w:rsidRDefault="00E50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25424713" wp14:editId="7AAD724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E50F2B" w:rsidRPr="00D645C1">
      <w:rPr>
        <w:rFonts w:ascii="Times New Roman" w:hAnsi="Times New Roman"/>
        <w:i/>
        <w:iCs/>
        <w:sz w:val="16"/>
        <w:szCs w:val="14"/>
        <w:lang w:val="en-GB"/>
      </w:rPr>
      <w:t>Design</w:t>
    </w:r>
    <w:bookmarkStart w:id="0" w:name="_GoBack"/>
    <w:bookmarkEnd w:id="0"/>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E50F2B" w:rsidRPr="00D645C1">
      <w:rPr>
        <w:rFonts w:ascii="Times New Roman" w:hAnsi="Times New Roman"/>
        <w:i/>
        <w:iCs/>
        <w:sz w:val="16"/>
        <w:szCs w:val="14"/>
        <w:lang w:val="en-GB"/>
      </w:rPr>
      <w:t>Design</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477"/>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47A2-478E-42F9-904E-C47C1764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2018-04-09T06:22:00Z</dcterms:created>
  <dcterms:modified xsi:type="dcterms:W3CDTF">2018-04-09T06:22:00Z</dcterms:modified>
</cp:coreProperties>
</file>